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FE4" w:rsidRDefault="00854FE4" w:rsidP="00854FE4">
      <w:pPr>
        <w:pStyle w:val="Default"/>
        <w:jc w:val="center"/>
        <w:rPr>
          <w:sz w:val="28"/>
          <w:szCs w:val="28"/>
        </w:rPr>
      </w:pPr>
      <w:r w:rsidRPr="00854FE4">
        <w:rPr>
          <w:noProof/>
          <w:sz w:val="28"/>
          <w:szCs w:val="28"/>
          <w:lang w:eastAsia="bg-BG"/>
        </w:rPr>
        <w:drawing>
          <wp:inline distT="0" distB="0" distL="0" distR="0">
            <wp:extent cx="5760720" cy="1168613"/>
            <wp:effectExtent l="19050" t="0" r="0" b="0"/>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60720" cy="1168613"/>
                    </a:xfrm>
                    <a:prstGeom prst="rect">
                      <a:avLst/>
                    </a:prstGeom>
                  </pic:spPr>
                </pic:pic>
              </a:graphicData>
            </a:graphic>
          </wp:inline>
        </w:drawing>
      </w:r>
    </w:p>
    <w:p w:rsidR="00854FE4" w:rsidRDefault="00854FE4" w:rsidP="00854FE4">
      <w:pPr>
        <w:pStyle w:val="Default"/>
        <w:rPr>
          <w:sz w:val="28"/>
          <w:szCs w:val="28"/>
        </w:rPr>
      </w:pPr>
    </w:p>
    <w:p w:rsidR="00854FE4" w:rsidRDefault="00854FE4" w:rsidP="00854FE4">
      <w:pPr>
        <w:pStyle w:val="Default"/>
        <w:rPr>
          <w:sz w:val="28"/>
          <w:szCs w:val="28"/>
        </w:rPr>
      </w:pPr>
      <w:r>
        <w:rPr>
          <w:sz w:val="28"/>
          <w:szCs w:val="28"/>
        </w:rPr>
        <w:t xml:space="preserve">                                                                                         </w:t>
      </w:r>
    </w:p>
    <w:p w:rsidR="00854FE4" w:rsidRDefault="00854FE4" w:rsidP="00854FE4">
      <w:pPr>
        <w:pStyle w:val="Default"/>
        <w:rPr>
          <w:sz w:val="28"/>
          <w:szCs w:val="28"/>
        </w:rPr>
      </w:pPr>
    </w:p>
    <w:p w:rsidR="00854FE4" w:rsidRDefault="00854FE4" w:rsidP="00854FE4">
      <w:pPr>
        <w:pStyle w:val="Default"/>
        <w:rPr>
          <w:sz w:val="28"/>
          <w:szCs w:val="28"/>
        </w:rPr>
      </w:pPr>
    </w:p>
    <w:p w:rsidR="00854FE4" w:rsidRDefault="00854FE4" w:rsidP="00854FE4">
      <w:pPr>
        <w:pStyle w:val="Default"/>
        <w:rPr>
          <w:sz w:val="28"/>
          <w:szCs w:val="28"/>
        </w:rPr>
      </w:pPr>
      <w:r>
        <w:rPr>
          <w:sz w:val="28"/>
          <w:szCs w:val="28"/>
        </w:rPr>
        <w:t xml:space="preserve">                                                                                               Приложение № 24</w:t>
      </w:r>
    </w:p>
    <w:p w:rsidR="00854FE4" w:rsidRDefault="00854FE4" w:rsidP="00854FE4">
      <w:pPr>
        <w:pStyle w:val="Default"/>
        <w:rPr>
          <w:sz w:val="28"/>
          <w:szCs w:val="28"/>
        </w:rPr>
      </w:pPr>
      <w:r>
        <w:rPr>
          <w:sz w:val="28"/>
          <w:szCs w:val="28"/>
        </w:rPr>
        <w:t xml:space="preserve">   </w:t>
      </w:r>
    </w:p>
    <w:p w:rsidR="00854FE4" w:rsidRDefault="00854FE4" w:rsidP="00854FE4">
      <w:pPr>
        <w:pStyle w:val="Default"/>
        <w:jc w:val="center"/>
        <w:rPr>
          <w:b/>
          <w:sz w:val="28"/>
          <w:szCs w:val="28"/>
        </w:rPr>
      </w:pPr>
      <w:r w:rsidRPr="00D66471">
        <w:rPr>
          <w:b/>
          <w:sz w:val="28"/>
          <w:szCs w:val="28"/>
        </w:rPr>
        <w:t xml:space="preserve">Основни дефиниции </w:t>
      </w:r>
      <w:r>
        <w:rPr>
          <w:b/>
          <w:sz w:val="28"/>
          <w:szCs w:val="28"/>
        </w:rPr>
        <w:t>по смисъла на Условията за кандидатстване</w:t>
      </w:r>
    </w:p>
    <w:p w:rsidR="00854FE4" w:rsidRDefault="00854FE4" w:rsidP="00854FE4">
      <w:pPr>
        <w:pStyle w:val="Default"/>
        <w:rPr>
          <w:b/>
        </w:rPr>
      </w:pPr>
    </w:p>
    <w:p w:rsidR="00854FE4" w:rsidRPr="00003D7D" w:rsidRDefault="00854FE4" w:rsidP="00854FE4">
      <w:pPr>
        <w:pStyle w:val="a5"/>
        <w:rPr>
          <w:b/>
          <w:color w:val="auto"/>
          <w:sz w:val="24"/>
          <w:lang w:val="bg-BG"/>
        </w:rPr>
      </w:pPr>
    </w:p>
    <w:tbl>
      <w:tblPr>
        <w:tblStyle w:val="11"/>
        <w:tblpPr w:leftFromText="141" w:rightFromText="141" w:vertAnchor="text" w:tblpY="1"/>
        <w:tblOverlap w:val="never"/>
        <w:tblW w:w="9606" w:type="dxa"/>
        <w:tblLayout w:type="fixed"/>
        <w:tblLook w:val="04A0" w:firstRow="1" w:lastRow="0" w:firstColumn="1" w:lastColumn="0" w:noHBand="0" w:noVBand="1"/>
      </w:tblPr>
      <w:tblGrid>
        <w:gridCol w:w="534"/>
        <w:gridCol w:w="2409"/>
        <w:gridCol w:w="6663"/>
      </w:tblGrid>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AE00ED" w:rsidRDefault="00854FE4" w:rsidP="00FB4863">
            <w:pPr>
              <w:jc w:val="both"/>
              <w:rPr>
                <w:rFonts w:asciiTheme="majorHAnsi" w:hAnsiTheme="majorHAnsi"/>
                <w:b/>
                <w:sz w:val="24"/>
                <w:szCs w:val="24"/>
              </w:rPr>
            </w:pPr>
            <w:r>
              <w:rPr>
                <w:rFonts w:asciiTheme="majorHAnsi" w:hAnsiTheme="majorHAnsi"/>
                <w:b/>
                <w:sz w:val="24"/>
                <w:szCs w:val="24"/>
              </w:rPr>
              <w:t>1</w:t>
            </w:r>
          </w:p>
        </w:tc>
        <w:tc>
          <w:tcPr>
            <w:tcW w:w="2409" w:type="dxa"/>
            <w:tcBorders>
              <w:top w:val="single" w:sz="4" w:space="0" w:color="auto"/>
              <w:left w:val="single" w:sz="4" w:space="0" w:color="auto"/>
              <w:bottom w:val="single" w:sz="4" w:space="0" w:color="auto"/>
              <w:right w:val="single" w:sz="4" w:space="0" w:color="auto"/>
            </w:tcBorders>
            <w:hideMark/>
          </w:tcPr>
          <w:p w:rsidR="00854FE4" w:rsidRPr="00AE00ED" w:rsidRDefault="00854FE4" w:rsidP="00FB4863">
            <w:pPr>
              <w:jc w:val="both"/>
              <w:rPr>
                <w:rFonts w:asciiTheme="majorHAnsi" w:hAnsiTheme="majorHAnsi"/>
                <w:b/>
                <w:sz w:val="24"/>
                <w:szCs w:val="24"/>
              </w:rPr>
            </w:pPr>
            <w:r w:rsidRPr="00AE00ED">
              <w:rPr>
                <w:rFonts w:asciiTheme="majorHAnsi" w:hAnsiTheme="majorHAnsi"/>
                <w:b/>
                <w:sz w:val="24"/>
                <w:szCs w:val="24"/>
              </w:rPr>
              <w:t>„Транспортни средства“</w:t>
            </w:r>
          </w:p>
        </w:tc>
        <w:tc>
          <w:tcPr>
            <w:tcW w:w="6663" w:type="dxa"/>
            <w:tcBorders>
              <w:top w:val="single" w:sz="4" w:space="0" w:color="auto"/>
              <w:left w:val="single" w:sz="4" w:space="0" w:color="auto"/>
              <w:bottom w:val="single" w:sz="4" w:space="0" w:color="auto"/>
              <w:right w:val="single" w:sz="4" w:space="0" w:color="auto"/>
            </w:tcBorders>
            <w:hideMark/>
          </w:tcPr>
          <w:p w:rsidR="00854FE4" w:rsidRPr="00916B47" w:rsidRDefault="00854FE4" w:rsidP="00FB4863">
            <w:pPr>
              <w:pStyle w:val="Default"/>
              <w:rPr>
                <w:rFonts w:asciiTheme="majorHAnsi" w:hAnsiTheme="majorHAnsi"/>
                <w:color w:val="auto"/>
                <w:sz w:val="22"/>
                <w:szCs w:val="22"/>
              </w:rPr>
            </w:pPr>
            <w:r>
              <w:rPr>
                <w:rFonts w:asciiTheme="majorHAnsi" w:hAnsiTheme="majorHAnsi"/>
                <w:color w:val="auto"/>
                <w:sz w:val="22"/>
                <w:szCs w:val="22"/>
              </w:rPr>
              <w:t xml:space="preserve">По настоящата процедура  - </w:t>
            </w:r>
            <w:r w:rsidRPr="00AE00ED">
              <w:rPr>
                <w:rFonts w:asciiTheme="majorHAnsi" w:hAnsiTheme="majorHAnsi"/>
                <w:color w:val="auto"/>
                <w:sz w:val="22"/>
                <w:szCs w:val="22"/>
              </w:rPr>
              <w:t xml:space="preserve">Моторни превозни средства, които не позволяват използването им за други цели освен изключително и само за осъществяване на дейности за предоставяне на социални услуги и оборудвани за целите на инвестицията. </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405451" w:rsidRDefault="00854FE4" w:rsidP="00FB4863">
            <w:pPr>
              <w:jc w:val="both"/>
              <w:rPr>
                <w:rFonts w:asciiTheme="majorHAnsi" w:hAnsiTheme="majorHAnsi"/>
                <w:b/>
                <w:sz w:val="22"/>
                <w:szCs w:val="22"/>
              </w:rPr>
            </w:pPr>
            <w:r>
              <w:rPr>
                <w:rFonts w:asciiTheme="majorHAnsi" w:hAnsiTheme="majorHAnsi"/>
                <w:b/>
                <w:sz w:val="22"/>
                <w:szCs w:val="22"/>
              </w:rPr>
              <w:t>2</w:t>
            </w:r>
          </w:p>
        </w:tc>
        <w:tc>
          <w:tcPr>
            <w:tcW w:w="2409" w:type="dxa"/>
            <w:tcBorders>
              <w:top w:val="single" w:sz="4" w:space="0" w:color="auto"/>
              <w:left w:val="single" w:sz="4" w:space="0" w:color="auto"/>
              <w:bottom w:val="single" w:sz="4" w:space="0" w:color="auto"/>
              <w:right w:val="single" w:sz="4" w:space="0" w:color="auto"/>
            </w:tcBorders>
            <w:hideMark/>
          </w:tcPr>
          <w:p w:rsidR="00854FE4" w:rsidRPr="00405451" w:rsidRDefault="00854FE4" w:rsidP="00FB4863">
            <w:pPr>
              <w:jc w:val="both"/>
              <w:rPr>
                <w:rFonts w:asciiTheme="majorHAnsi" w:hAnsiTheme="majorHAnsi"/>
                <w:b/>
                <w:sz w:val="22"/>
                <w:szCs w:val="22"/>
              </w:rPr>
            </w:pPr>
            <w:r w:rsidRPr="00405451">
              <w:rPr>
                <w:rFonts w:asciiTheme="majorHAnsi" w:hAnsiTheme="majorHAnsi"/>
                <w:b/>
                <w:sz w:val="22"/>
                <w:szCs w:val="22"/>
              </w:rPr>
              <w:t>Обект, свързан с културния живот</w:t>
            </w:r>
          </w:p>
        </w:tc>
        <w:tc>
          <w:tcPr>
            <w:tcW w:w="6663" w:type="dxa"/>
            <w:tcBorders>
              <w:top w:val="single" w:sz="4" w:space="0" w:color="auto"/>
              <w:left w:val="single" w:sz="4" w:space="0" w:color="auto"/>
              <w:bottom w:val="single" w:sz="4" w:space="0" w:color="auto"/>
              <w:right w:val="single" w:sz="4" w:space="0" w:color="auto"/>
            </w:tcBorders>
            <w:hideMark/>
          </w:tcPr>
          <w:p w:rsidR="00854FE4" w:rsidRPr="00916B47" w:rsidRDefault="00854FE4" w:rsidP="00FB4863">
            <w:pPr>
              <w:pStyle w:val="Default"/>
              <w:rPr>
                <w:rFonts w:asciiTheme="majorHAnsi" w:hAnsiTheme="majorHAnsi"/>
                <w:color w:val="auto"/>
                <w:sz w:val="22"/>
                <w:szCs w:val="22"/>
              </w:rPr>
            </w:pPr>
            <w:r w:rsidRPr="00405451">
              <w:rPr>
                <w:rFonts w:asciiTheme="majorHAnsi" w:hAnsiTheme="majorHAnsi"/>
                <w:color w:val="auto"/>
                <w:sz w:val="22"/>
                <w:szCs w:val="22"/>
              </w:rPr>
              <w:t xml:space="preserve">Съвкупността от движимото и/или недвижимото имущество на едно читалище, театър, библиотека, музей, галерия или изложбена зала. </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055F72" w:rsidRDefault="00854FE4" w:rsidP="00FB4863">
            <w:pPr>
              <w:pStyle w:val="Default"/>
              <w:rPr>
                <w:rFonts w:asciiTheme="majorHAnsi" w:hAnsiTheme="majorHAnsi"/>
                <w:b/>
                <w:color w:val="auto"/>
                <w:sz w:val="22"/>
                <w:szCs w:val="22"/>
              </w:rPr>
            </w:pPr>
            <w:r>
              <w:rPr>
                <w:rFonts w:asciiTheme="majorHAnsi" w:hAnsiTheme="majorHAnsi"/>
                <w:b/>
                <w:color w:val="auto"/>
                <w:sz w:val="22"/>
                <w:szCs w:val="22"/>
              </w:rPr>
              <w:t>3</w:t>
            </w:r>
          </w:p>
        </w:tc>
        <w:tc>
          <w:tcPr>
            <w:tcW w:w="2409" w:type="dxa"/>
            <w:tcBorders>
              <w:top w:val="single" w:sz="4" w:space="0" w:color="auto"/>
              <w:left w:val="single" w:sz="4" w:space="0" w:color="auto"/>
              <w:bottom w:val="single" w:sz="4" w:space="0" w:color="auto"/>
              <w:right w:val="single" w:sz="4" w:space="0" w:color="auto"/>
            </w:tcBorders>
            <w:hideMark/>
          </w:tcPr>
          <w:p w:rsidR="00854FE4" w:rsidRPr="00055F72" w:rsidRDefault="00854FE4" w:rsidP="00FB4863">
            <w:pPr>
              <w:pStyle w:val="Default"/>
              <w:rPr>
                <w:rFonts w:asciiTheme="majorHAnsi" w:hAnsiTheme="majorHAnsi"/>
                <w:b/>
                <w:sz w:val="22"/>
                <w:szCs w:val="22"/>
              </w:rPr>
            </w:pPr>
            <w:r w:rsidRPr="00055F72">
              <w:rPr>
                <w:rFonts w:asciiTheme="majorHAnsi" w:hAnsiTheme="majorHAnsi"/>
                <w:b/>
                <w:color w:val="auto"/>
                <w:sz w:val="22"/>
                <w:szCs w:val="22"/>
              </w:rPr>
              <w:t xml:space="preserve">Вертикална планировка </w:t>
            </w:r>
          </w:p>
        </w:tc>
        <w:tc>
          <w:tcPr>
            <w:tcW w:w="6663" w:type="dxa"/>
            <w:tcBorders>
              <w:top w:val="single" w:sz="4" w:space="0" w:color="auto"/>
              <w:left w:val="single" w:sz="4" w:space="0" w:color="auto"/>
              <w:bottom w:val="single" w:sz="4" w:space="0" w:color="auto"/>
              <w:right w:val="single" w:sz="4" w:space="0" w:color="auto"/>
            </w:tcBorders>
            <w:hideMark/>
          </w:tcPr>
          <w:p w:rsidR="00854FE4" w:rsidRPr="00055F72" w:rsidRDefault="00854FE4" w:rsidP="00FB4863">
            <w:pPr>
              <w:pStyle w:val="Default"/>
              <w:rPr>
                <w:rFonts w:asciiTheme="majorHAnsi" w:hAnsiTheme="majorHAnsi"/>
                <w:color w:val="auto"/>
                <w:sz w:val="22"/>
                <w:szCs w:val="22"/>
              </w:rPr>
            </w:pPr>
            <w:r w:rsidRPr="00055F72">
              <w:rPr>
                <w:rFonts w:asciiTheme="majorHAnsi" w:hAnsiTheme="majorHAnsi"/>
                <w:color w:val="auto"/>
                <w:sz w:val="22"/>
                <w:szCs w:val="22"/>
              </w:rPr>
              <w:t xml:space="preserve">Реконструкция и ремонт на съществуващия терен в зависимост от неговите дадености, за да се осигури правилното </w:t>
            </w:r>
            <w:proofErr w:type="spellStart"/>
            <w:r w:rsidRPr="00055F72">
              <w:rPr>
                <w:rFonts w:asciiTheme="majorHAnsi" w:hAnsiTheme="majorHAnsi"/>
                <w:color w:val="auto"/>
                <w:sz w:val="22"/>
                <w:szCs w:val="22"/>
              </w:rPr>
              <w:t>водоотвеждане</w:t>
            </w:r>
            <w:proofErr w:type="spellEnd"/>
            <w:r w:rsidRPr="00055F72">
              <w:rPr>
                <w:rFonts w:asciiTheme="majorHAnsi" w:hAnsiTheme="majorHAnsi"/>
                <w:color w:val="auto"/>
                <w:sz w:val="22"/>
                <w:szCs w:val="22"/>
              </w:rPr>
              <w:t xml:space="preserve">, терасиране, изграждане на подходи към сгради, стъпала и подпорни зидове, както и огради, ако е необходимо. </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4</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color w:val="000000"/>
              </w:rPr>
            </w:pPr>
            <w:r w:rsidRPr="0036704C">
              <w:rPr>
                <w:rFonts w:asciiTheme="majorHAnsi" w:hAnsiTheme="majorHAnsi"/>
                <w:b/>
                <w:color w:val="000000"/>
              </w:rPr>
              <w:t>Закрита спортна инфраструктура в общинска образователна инфраструктура</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 xml:space="preserve">Закрита спортна инфраструктура е зала за спорт (физкултурен салон). </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7609E2" w:rsidRDefault="00854FE4" w:rsidP="00FB4863">
            <w:pPr>
              <w:jc w:val="both"/>
              <w:rPr>
                <w:rFonts w:asciiTheme="majorHAnsi" w:hAnsiTheme="majorHAnsi"/>
                <w:b/>
                <w:sz w:val="22"/>
                <w:szCs w:val="22"/>
              </w:rPr>
            </w:pPr>
            <w:r>
              <w:rPr>
                <w:rFonts w:asciiTheme="majorHAnsi" w:hAnsiTheme="majorHAnsi"/>
                <w:b/>
                <w:sz w:val="22"/>
                <w:szCs w:val="22"/>
              </w:rPr>
              <w:t>5</w:t>
            </w:r>
          </w:p>
        </w:tc>
        <w:tc>
          <w:tcPr>
            <w:tcW w:w="2409" w:type="dxa"/>
            <w:tcBorders>
              <w:top w:val="single" w:sz="4" w:space="0" w:color="auto"/>
              <w:left w:val="single" w:sz="4" w:space="0" w:color="auto"/>
              <w:bottom w:val="single" w:sz="4" w:space="0" w:color="auto"/>
              <w:right w:val="single" w:sz="4" w:space="0" w:color="auto"/>
            </w:tcBorders>
            <w:hideMark/>
          </w:tcPr>
          <w:p w:rsidR="00854FE4" w:rsidRPr="007609E2" w:rsidRDefault="00854FE4" w:rsidP="00FB4863">
            <w:pPr>
              <w:jc w:val="both"/>
              <w:rPr>
                <w:rFonts w:asciiTheme="majorHAnsi" w:hAnsiTheme="majorHAnsi"/>
                <w:b/>
                <w:color w:val="000000"/>
                <w:sz w:val="22"/>
                <w:szCs w:val="22"/>
              </w:rPr>
            </w:pPr>
            <w:r w:rsidRPr="007609E2">
              <w:rPr>
                <w:rFonts w:asciiTheme="majorHAnsi" w:hAnsiTheme="majorHAnsi"/>
                <w:b/>
                <w:sz w:val="22"/>
                <w:szCs w:val="22"/>
              </w:rPr>
              <w:t>Генериращ нетни приходи проект</w:t>
            </w:r>
          </w:p>
        </w:tc>
        <w:tc>
          <w:tcPr>
            <w:tcW w:w="6663" w:type="dxa"/>
            <w:tcBorders>
              <w:top w:val="single" w:sz="4" w:space="0" w:color="auto"/>
              <w:left w:val="single" w:sz="4" w:space="0" w:color="auto"/>
              <w:bottom w:val="single" w:sz="4" w:space="0" w:color="auto"/>
              <w:right w:val="single" w:sz="4" w:space="0" w:color="auto"/>
            </w:tcBorders>
            <w:hideMark/>
          </w:tcPr>
          <w:p w:rsidR="00854FE4" w:rsidRPr="00C521FF" w:rsidRDefault="00854FE4" w:rsidP="00FB4863">
            <w:pPr>
              <w:jc w:val="both"/>
              <w:rPr>
                <w:rFonts w:asciiTheme="majorHAnsi" w:hAnsiTheme="majorHAnsi"/>
                <w:sz w:val="22"/>
                <w:szCs w:val="22"/>
              </w:rPr>
            </w:pPr>
            <w:r w:rsidRPr="00C521FF">
              <w:rPr>
                <w:rFonts w:asciiTheme="majorHAnsi" w:hAnsiTheme="majorHAnsi"/>
                <w:sz w:val="22"/>
                <w:szCs w:val="22"/>
              </w:rPr>
              <w:t>По смисъла на чл. 61 от Регламент (ЕС) № 1303/2013 е проект, който след приключването си генерира нетни приходи - парични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6</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Изкуствено създадени условия</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 xml:space="preserve">Всяко установено от Държавен фонд „Земеделие“ - Разплащателна агенция (ДФЗ-РА) или друг компетентен орган условие по смисъла на </w:t>
            </w:r>
            <w:hyperlink r:id="rId6" w:history="1">
              <w:r w:rsidRPr="0036704C">
                <w:rPr>
                  <w:rFonts w:asciiTheme="majorHAnsi" w:hAnsiTheme="majorHAnsi"/>
                  <w:color w:val="000000"/>
                  <w:u w:val="single"/>
                </w:rPr>
                <w:t>чл. 60 от Регламент (ЕС) № 1306/2013</w:t>
              </w:r>
            </w:hyperlink>
            <w:r w:rsidRPr="0036704C">
              <w:rPr>
                <w:rFonts w:asciiTheme="majorHAnsi" w:hAnsiTheme="majorHAnsi"/>
              </w:rPr>
              <w:t xml:space="preserve"> на Европейския парламент и на Съвета по отношение на интегрираната система за администриране и контрол, мерките за развитие на селските </w:t>
            </w:r>
            <w:r w:rsidRPr="0036704C">
              <w:rPr>
                <w:rFonts w:asciiTheme="majorHAnsi" w:hAnsiTheme="majorHAnsi"/>
              </w:rPr>
              <w:lastRenderedPageBreak/>
              <w:t>райони и кръстосаното съответствие (ОВ, L 227/69 от 31 юли 2014 г.).</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lastRenderedPageBreak/>
              <w:t>7</w:t>
            </w:r>
          </w:p>
        </w:tc>
        <w:tc>
          <w:tcPr>
            <w:tcW w:w="2409" w:type="dxa"/>
            <w:tcBorders>
              <w:top w:val="single" w:sz="4" w:space="0" w:color="auto"/>
              <w:left w:val="single" w:sz="4" w:space="0" w:color="auto"/>
              <w:bottom w:val="single" w:sz="4" w:space="0" w:color="auto"/>
              <w:right w:val="single" w:sz="4" w:space="0" w:color="auto"/>
            </w:tcBorders>
            <w:hideMark/>
          </w:tcPr>
          <w:p w:rsidR="00854FE4" w:rsidRDefault="00854FE4" w:rsidP="00FB4863">
            <w:pPr>
              <w:jc w:val="both"/>
              <w:rPr>
                <w:rFonts w:asciiTheme="majorHAnsi" w:hAnsiTheme="majorHAnsi"/>
                <w:b/>
                <w:color w:val="000000"/>
              </w:rPr>
            </w:pPr>
            <w:r w:rsidRPr="0036704C">
              <w:rPr>
                <w:rFonts w:asciiTheme="majorHAnsi" w:hAnsiTheme="majorHAnsi"/>
                <w:b/>
                <w:color w:val="000000"/>
              </w:rPr>
              <w:t xml:space="preserve">Инвестиционен </w:t>
            </w:r>
          </w:p>
          <w:p w:rsidR="00854FE4" w:rsidRPr="0036704C" w:rsidRDefault="00854FE4" w:rsidP="00FB4863">
            <w:pPr>
              <w:jc w:val="both"/>
              <w:rPr>
                <w:rFonts w:asciiTheme="majorHAnsi" w:hAnsiTheme="majorHAnsi"/>
                <w:b/>
              </w:rPr>
            </w:pPr>
            <w:r w:rsidRPr="0036704C">
              <w:rPr>
                <w:rFonts w:asciiTheme="majorHAnsi" w:hAnsiTheme="majorHAnsi"/>
                <w:b/>
                <w:color w:val="000000"/>
              </w:rPr>
              <w:t>проект</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 xml:space="preserve">Проект по смисъла на </w:t>
            </w:r>
            <w:hyperlink r:id="rId7" w:history="1">
              <w:r w:rsidRPr="0036704C">
                <w:rPr>
                  <w:rFonts w:asciiTheme="majorHAnsi" w:hAnsiTheme="majorHAnsi"/>
                  <w:color w:val="000000"/>
                  <w:u w:val="single"/>
                </w:rPr>
                <w:t>Закона за устройство на територията</w:t>
              </w:r>
            </w:hyperlink>
            <w:r w:rsidRPr="0036704C">
              <w:rPr>
                <w:rFonts w:asciiTheme="majorHAnsi" w:hAnsiTheme="majorHAnsi"/>
              </w:rPr>
              <w:t xml:space="preserve"> и </w:t>
            </w:r>
            <w:hyperlink r:id="rId8" w:history="1">
              <w:r w:rsidRPr="0036704C">
                <w:rPr>
                  <w:rFonts w:asciiTheme="majorHAnsi" w:hAnsiTheme="majorHAnsi"/>
                  <w:color w:val="000000"/>
                  <w:u w:val="single"/>
                </w:rPr>
                <w:t>Наредба № 4 за обхвата и съдържанието на инвестиционните проекти</w:t>
              </w:r>
            </w:hyperlink>
            <w:r w:rsidRPr="0036704C">
              <w:rPr>
                <w:rFonts w:asciiTheme="majorHAnsi" w:hAnsiTheme="majorHAnsi"/>
              </w:rPr>
              <w:t xml:space="preserve"> (ДВ, бр. 51 от 2001 г.), предназначен за строителството на обекта/</w:t>
            </w:r>
            <w:proofErr w:type="spellStart"/>
            <w:r w:rsidRPr="0036704C">
              <w:rPr>
                <w:rFonts w:asciiTheme="majorHAnsi" w:hAnsiTheme="majorHAnsi"/>
              </w:rPr>
              <w:t>ите</w:t>
            </w:r>
            <w:proofErr w:type="spellEnd"/>
            <w:r w:rsidRPr="0036704C">
              <w:rPr>
                <w:rFonts w:asciiTheme="majorHAnsi" w:hAnsiTheme="majorHAnsi"/>
              </w:rPr>
              <w:t>, включени в проекта.</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BB1606" w:rsidRDefault="00854FE4" w:rsidP="00FB4863">
            <w:pPr>
              <w:jc w:val="both"/>
              <w:rPr>
                <w:rFonts w:asciiTheme="majorHAnsi" w:hAnsiTheme="majorHAnsi"/>
                <w:b/>
                <w:sz w:val="22"/>
                <w:szCs w:val="22"/>
              </w:rPr>
            </w:pPr>
            <w:r>
              <w:rPr>
                <w:rFonts w:asciiTheme="majorHAnsi" w:hAnsiTheme="majorHAnsi"/>
                <w:b/>
                <w:sz w:val="22"/>
                <w:szCs w:val="22"/>
              </w:rPr>
              <w:t>8</w:t>
            </w:r>
          </w:p>
        </w:tc>
        <w:tc>
          <w:tcPr>
            <w:tcW w:w="2409" w:type="dxa"/>
            <w:tcBorders>
              <w:top w:val="single" w:sz="4" w:space="0" w:color="auto"/>
              <w:left w:val="single" w:sz="4" w:space="0" w:color="auto"/>
              <w:bottom w:val="single" w:sz="4" w:space="0" w:color="auto"/>
              <w:right w:val="single" w:sz="4" w:space="0" w:color="auto"/>
            </w:tcBorders>
            <w:hideMark/>
          </w:tcPr>
          <w:p w:rsidR="00854FE4" w:rsidRPr="00BB1606" w:rsidRDefault="00854FE4" w:rsidP="00FB4863">
            <w:pPr>
              <w:jc w:val="both"/>
              <w:rPr>
                <w:rFonts w:asciiTheme="majorHAnsi" w:hAnsiTheme="majorHAnsi"/>
                <w:b/>
                <w:color w:val="000000"/>
                <w:sz w:val="22"/>
                <w:szCs w:val="22"/>
              </w:rPr>
            </w:pPr>
            <w:r w:rsidRPr="00BB1606">
              <w:rPr>
                <w:rFonts w:asciiTheme="majorHAnsi" w:hAnsiTheme="majorHAnsi"/>
                <w:b/>
                <w:sz w:val="22"/>
                <w:szCs w:val="22"/>
              </w:rPr>
              <w:t>Интензитет на помощт</w:t>
            </w:r>
            <w:r>
              <w:rPr>
                <w:rFonts w:asciiTheme="majorHAnsi" w:hAnsiTheme="majorHAnsi"/>
                <w:b/>
                <w:sz w:val="22"/>
                <w:szCs w:val="22"/>
              </w:rPr>
              <w:t>а</w:t>
            </w:r>
          </w:p>
        </w:tc>
        <w:tc>
          <w:tcPr>
            <w:tcW w:w="6663" w:type="dxa"/>
            <w:tcBorders>
              <w:top w:val="single" w:sz="4" w:space="0" w:color="auto"/>
              <w:left w:val="single" w:sz="4" w:space="0" w:color="auto"/>
              <w:bottom w:val="single" w:sz="4" w:space="0" w:color="auto"/>
              <w:right w:val="single" w:sz="4" w:space="0" w:color="auto"/>
            </w:tcBorders>
            <w:hideMark/>
          </w:tcPr>
          <w:p w:rsidR="00854FE4" w:rsidRPr="00916B47" w:rsidRDefault="00854FE4" w:rsidP="00FB4863">
            <w:pPr>
              <w:jc w:val="both"/>
              <w:rPr>
                <w:rFonts w:asciiTheme="majorHAnsi" w:hAnsiTheme="majorHAnsi"/>
                <w:b/>
                <w:color w:val="000000"/>
                <w:sz w:val="22"/>
                <w:szCs w:val="22"/>
              </w:rPr>
            </w:pPr>
            <w:r w:rsidRPr="00BB1606">
              <w:rPr>
                <w:rFonts w:asciiTheme="majorHAnsi" w:hAnsiTheme="majorHAnsi"/>
                <w:sz w:val="22"/>
                <w:szCs w:val="22"/>
              </w:rPr>
              <w:t>Съотношението на публичното финансиране спрямо допустимите разходи по проекта, изразено в процент</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1C6B64" w:rsidRDefault="00854FE4" w:rsidP="00FB4863">
            <w:pPr>
              <w:jc w:val="both"/>
              <w:rPr>
                <w:rFonts w:asciiTheme="majorHAnsi" w:hAnsiTheme="majorHAnsi"/>
                <w:b/>
                <w:sz w:val="22"/>
                <w:szCs w:val="22"/>
              </w:rPr>
            </w:pPr>
            <w:r>
              <w:rPr>
                <w:rFonts w:asciiTheme="majorHAnsi" w:hAnsiTheme="majorHAnsi"/>
                <w:b/>
                <w:sz w:val="22"/>
                <w:szCs w:val="22"/>
              </w:rPr>
              <w:t>9</w:t>
            </w:r>
          </w:p>
        </w:tc>
        <w:tc>
          <w:tcPr>
            <w:tcW w:w="2409" w:type="dxa"/>
            <w:tcBorders>
              <w:top w:val="single" w:sz="4" w:space="0" w:color="auto"/>
              <w:left w:val="single" w:sz="4" w:space="0" w:color="auto"/>
              <w:bottom w:val="single" w:sz="4" w:space="0" w:color="auto"/>
              <w:right w:val="single" w:sz="4" w:space="0" w:color="auto"/>
            </w:tcBorders>
            <w:hideMark/>
          </w:tcPr>
          <w:p w:rsidR="00854FE4" w:rsidRPr="001C6B64" w:rsidRDefault="00854FE4" w:rsidP="00FB4863">
            <w:pPr>
              <w:jc w:val="both"/>
              <w:rPr>
                <w:rFonts w:asciiTheme="majorHAnsi" w:hAnsiTheme="majorHAnsi"/>
                <w:b/>
                <w:color w:val="000000"/>
                <w:sz w:val="22"/>
                <w:szCs w:val="22"/>
              </w:rPr>
            </w:pPr>
            <w:r w:rsidRPr="001C6B64">
              <w:rPr>
                <w:rFonts w:asciiTheme="majorHAnsi" w:hAnsiTheme="majorHAnsi"/>
                <w:b/>
                <w:sz w:val="22"/>
                <w:szCs w:val="22"/>
              </w:rPr>
              <w:t>Мобилни обекти</w:t>
            </w:r>
          </w:p>
          <w:p w:rsidR="00854FE4" w:rsidRPr="0036704C" w:rsidRDefault="00854FE4" w:rsidP="00FB4863">
            <w:pPr>
              <w:jc w:val="both"/>
              <w:rPr>
                <w:rFonts w:asciiTheme="majorHAnsi" w:hAnsiTheme="majorHAnsi"/>
                <w:b/>
                <w:color w:val="000000"/>
              </w:rPr>
            </w:pPr>
          </w:p>
        </w:tc>
        <w:tc>
          <w:tcPr>
            <w:tcW w:w="6663" w:type="dxa"/>
            <w:tcBorders>
              <w:top w:val="single" w:sz="4" w:space="0" w:color="auto"/>
              <w:left w:val="single" w:sz="4" w:space="0" w:color="auto"/>
              <w:bottom w:val="single" w:sz="4" w:space="0" w:color="auto"/>
              <w:right w:val="single" w:sz="4" w:space="0" w:color="auto"/>
            </w:tcBorders>
            <w:hideMark/>
          </w:tcPr>
          <w:p w:rsidR="00854FE4" w:rsidRPr="00916B47" w:rsidRDefault="00854FE4" w:rsidP="00FB4863">
            <w:pPr>
              <w:pStyle w:val="Default"/>
              <w:rPr>
                <w:rFonts w:asciiTheme="majorHAnsi" w:hAnsiTheme="majorHAnsi"/>
                <w:color w:val="auto"/>
                <w:sz w:val="22"/>
                <w:szCs w:val="22"/>
              </w:rPr>
            </w:pPr>
            <w:r w:rsidRPr="001C6B64">
              <w:rPr>
                <w:rFonts w:asciiTheme="majorHAnsi" w:hAnsiTheme="majorHAnsi"/>
                <w:color w:val="auto"/>
                <w:sz w:val="22"/>
                <w:szCs w:val="22"/>
              </w:rPr>
              <w:t xml:space="preserve">Моторни превозни средства, които не позволяват използването им за други цели освен изключително и само за осъществяване на дейности за предоставяне на услуги, свързани с културния живот и оборудвани за целите на инвестицията. </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10</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Независими оферти</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color w:val="000000"/>
              </w:rPr>
            </w:pPr>
            <w:r w:rsidRPr="0036704C">
              <w:rPr>
                <w:rFonts w:asciiTheme="majorHAnsi" w:hAnsiTheme="majorHAnsi"/>
                <w:color w:val="000000"/>
              </w:rPr>
              <w:t>Оферти, подадени от лица, които не се намират в следната свързаност помежду си или спрямо кандидата:</w:t>
            </w:r>
          </w:p>
          <w:p w:rsidR="00854FE4" w:rsidRPr="0036704C" w:rsidRDefault="00854FE4" w:rsidP="00FB4863">
            <w:pPr>
              <w:jc w:val="both"/>
              <w:rPr>
                <w:rFonts w:asciiTheme="majorHAnsi" w:hAnsiTheme="majorHAnsi"/>
                <w:color w:val="000000"/>
              </w:rPr>
            </w:pPr>
            <w:r w:rsidRPr="0036704C">
              <w:rPr>
                <w:rFonts w:asciiTheme="majorHAnsi" w:hAnsiTheme="majorHAnsi"/>
                <w:color w:val="000000"/>
              </w:rPr>
              <w:t>а) едното участва в управлението на дружеството на другото;</w:t>
            </w:r>
          </w:p>
          <w:p w:rsidR="00854FE4" w:rsidRPr="0036704C" w:rsidRDefault="00854FE4" w:rsidP="00FB4863">
            <w:pPr>
              <w:jc w:val="both"/>
              <w:rPr>
                <w:rFonts w:asciiTheme="majorHAnsi" w:hAnsiTheme="majorHAnsi"/>
                <w:color w:val="000000"/>
              </w:rPr>
            </w:pPr>
            <w:r w:rsidRPr="0036704C">
              <w:rPr>
                <w:rFonts w:asciiTheme="majorHAnsi" w:hAnsiTheme="majorHAnsi"/>
                <w:color w:val="000000"/>
              </w:rPr>
              <w:t>б) съдружници;</w:t>
            </w:r>
          </w:p>
          <w:p w:rsidR="00854FE4" w:rsidRPr="0036704C" w:rsidRDefault="00854FE4" w:rsidP="00FB4863">
            <w:pPr>
              <w:jc w:val="both"/>
              <w:rPr>
                <w:rFonts w:asciiTheme="majorHAnsi" w:hAnsiTheme="majorHAnsi"/>
                <w:color w:val="000000"/>
              </w:rPr>
            </w:pPr>
            <w:r w:rsidRPr="0036704C">
              <w:rPr>
                <w:rFonts w:asciiTheme="majorHAnsi" w:hAnsiTheme="majorHAnsi"/>
                <w:color w:val="000000"/>
              </w:rPr>
              <w:t>в) съвместно контролират пряко трето лице;</w:t>
            </w:r>
          </w:p>
          <w:p w:rsidR="00854FE4" w:rsidRPr="0036704C" w:rsidRDefault="00854FE4" w:rsidP="00FB4863">
            <w:pPr>
              <w:jc w:val="both"/>
              <w:rPr>
                <w:rFonts w:asciiTheme="majorHAnsi" w:hAnsiTheme="majorHAnsi"/>
                <w:color w:val="000000"/>
              </w:rPr>
            </w:pPr>
            <w:r w:rsidRPr="0036704C">
              <w:rPr>
                <w:rFonts w:asciiTheme="majorHAnsi" w:hAnsiTheme="majorHAnsi"/>
                <w:color w:val="000000"/>
              </w:rPr>
              <w:t>г) участват пряко в управлението или капитала на друго лице, поради което между тях могат да се уговарят условия, различни от обичайните;</w:t>
            </w:r>
          </w:p>
          <w:p w:rsidR="00854FE4" w:rsidRPr="0036704C" w:rsidRDefault="00854FE4" w:rsidP="00FB4863">
            <w:pPr>
              <w:jc w:val="both"/>
              <w:rPr>
                <w:rFonts w:asciiTheme="majorHAnsi" w:hAnsiTheme="majorHAnsi"/>
                <w:color w:val="000000"/>
              </w:rPr>
            </w:pPr>
            <w:r w:rsidRPr="0036704C">
              <w:rPr>
                <w:rFonts w:asciiTheme="majorHAnsi" w:hAnsiTheme="majorHAnsi"/>
                <w:color w:val="000000"/>
              </w:rPr>
              <w:t>д) едното лице притежава повече от половината от броя на гласовете в общото събрание на другото лице;</w:t>
            </w:r>
          </w:p>
          <w:p w:rsidR="00854FE4" w:rsidRPr="0036704C" w:rsidRDefault="00854FE4" w:rsidP="00FB4863">
            <w:pPr>
              <w:jc w:val="both"/>
              <w:rPr>
                <w:rFonts w:asciiTheme="majorHAnsi" w:hAnsiTheme="majorHAnsi"/>
                <w:color w:val="000000"/>
              </w:rPr>
            </w:pPr>
            <w:r w:rsidRPr="0036704C">
              <w:rPr>
                <w:rFonts w:asciiTheme="majorHAnsi" w:hAnsiTheme="majorHAnsi"/>
                <w:color w:val="000000"/>
              </w:rPr>
              <w:t>е) лицата, чиято дейност се контролира пряко или косвено от трето лице – физическо или юридическо;</w:t>
            </w:r>
          </w:p>
          <w:p w:rsidR="00854FE4" w:rsidRPr="0036704C" w:rsidRDefault="00854FE4" w:rsidP="00FB4863">
            <w:pPr>
              <w:jc w:val="both"/>
              <w:rPr>
                <w:rFonts w:asciiTheme="majorHAnsi" w:hAnsiTheme="majorHAnsi"/>
              </w:rPr>
            </w:pPr>
            <w:r w:rsidRPr="0036704C">
              <w:rPr>
                <w:rFonts w:asciiTheme="majorHAnsi" w:hAnsiTheme="majorHAnsi"/>
                <w:color w:val="000000"/>
              </w:rPr>
              <w:t>ж) лицата, едното от които е търговски представител на другото.</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11</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Нередност</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717BA3" w:rsidRDefault="00854FE4" w:rsidP="00FB4863">
            <w:pPr>
              <w:pStyle w:val="Default"/>
              <w:rPr>
                <w:rFonts w:asciiTheme="majorHAnsi" w:hAnsiTheme="majorHAnsi"/>
                <w:b/>
                <w:color w:val="auto"/>
                <w:sz w:val="22"/>
                <w:szCs w:val="22"/>
              </w:rPr>
            </w:pPr>
            <w:r>
              <w:rPr>
                <w:rFonts w:asciiTheme="majorHAnsi" w:hAnsiTheme="majorHAnsi"/>
                <w:b/>
                <w:color w:val="auto"/>
                <w:sz w:val="22"/>
                <w:szCs w:val="22"/>
              </w:rPr>
              <w:t>12</w:t>
            </w:r>
          </w:p>
        </w:tc>
        <w:tc>
          <w:tcPr>
            <w:tcW w:w="2409" w:type="dxa"/>
            <w:tcBorders>
              <w:top w:val="single" w:sz="4" w:space="0" w:color="auto"/>
              <w:left w:val="single" w:sz="4" w:space="0" w:color="auto"/>
              <w:bottom w:val="single" w:sz="4" w:space="0" w:color="auto"/>
              <w:right w:val="single" w:sz="4" w:space="0" w:color="auto"/>
            </w:tcBorders>
            <w:hideMark/>
          </w:tcPr>
          <w:p w:rsidR="00854FE4" w:rsidRPr="00916B47" w:rsidRDefault="00854FE4" w:rsidP="00FB4863">
            <w:pPr>
              <w:pStyle w:val="Default"/>
              <w:rPr>
                <w:rFonts w:asciiTheme="majorHAnsi" w:hAnsiTheme="majorHAnsi"/>
                <w:color w:val="auto"/>
                <w:sz w:val="28"/>
                <w:szCs w:val="28"/>
              </w:rPr>
            </w:pPr>
            <w:r w:rsidRPr="00717BA3">
              <w:rPr>
                <w:rFonts w:asciiTheme="majorHAnsi" w:hAnsiTheme="majorHAnsi"/>
                <w:b/>
                <w:color w:val="auto"/>
                <w:sz w:val="22"/>
                <w:szCs w:val="22"/>
              </w:rPr>
              <w:t xml:space="preserve">Нестопанска </w:t>
            </w:r>
            <w:r>
              <w:rPr>
                <w:rFonts w:asciiTheme="majorHAnsi" w:hAnsiTheme="majorHAnsi"/>
                <w:b/>
                <w:color w:val="auto"/>
                <w:sz w:val="22"/>
                <w:szCs w:val="22"/>
              </w:rPr>
              <w:t>дейност</w:t>
            </w:r>
          </w:p>
        </w:tc>
        <w:tc>
          <w:tcPr>
            <w:tcW w:w="6663" w:type="dxa"/>
            <w:tcBorders>
              <w:top w:val="single" w:sz="4" w:space="0" w:color="auto"/>
              <w:left w:val="single" w:sz="4" w:space="0" w:color="auto"/>
              <w:bottom w:val="single" w:sz="4" w:space="0" w:color="auto"/>
              <w:right w:val="single" w:sz="4" w:space="0" w:color="auto"/>
            </w:tcBorders>
            <w:hideMark/>
          </w:tcPr>
          <w:p w:rsidR="00854FE4" w:rsidRPr="00916B47" w:rsidRDefault="00854FE4" w:rsidP="00FB4863">
            <w:pPr>
              <w:pStyle w:val="Default"/>
              <w:rPr>
                <w:rFonts w:asciiTheme="majorHAnsi" w:hAnsiTheme="majorHAnsi"/>
                <w:color w:val="auto"/>
                <w:sz w:val="22"/>
                <w:szCs w:val="22"/>
              </w:rPr>
            </w:pPr>
            <w:r w:rsidRPr="00717BA3">
              <w:rPr>
                <w:rFonts w:asciiTheme="majorHAnsi" w:hAnsiTheme="majorHAnsi"/>
                <w:color w:val="auto"/>
                <w:sz w:val="22"/>
                <w:szCs w:val="22"/>
              </w:rPr>
              <w:t xml:space="preserve">Дейност, която не генерира приходи от продажби. </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13</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Оперативни разходи</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Административните разходи и разходите, свързани с поддръжка, наеми, застраховка, текущ ремонт с поддръжка и експлоатация на активите.</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14</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Pr>
                <w:rFonts w:asciiTheme="majorHAnsi" w:hAnsiTheme="majorHAnsi"/>
                <w:b/>
                <w:color w:val="000000"/>
              </w:rPr>
              <w:t>О</w:t>
            </w:r>
            <w:r w:rsidRPr="0036704C">
              <w:rPr>
                <w:rFonts w:asciiTheme="majorHAnsi" w:hAnsiTheme="majorHAnsi"/>
                <w:b/>
                <w:color w:val="000000"/>
              </w:rPr>
              <w:t>бщинска образователна инфраструктура с местно значение</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Детска градина, финансирана чрез бюджета на общината, или основно или средно училище, финансирани чрез бюджета на общината или професионални гимназии по § 10 от Преходните и заключителни разпоредби на Закона за предучилищното и училищно образование.</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15</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Обикновена подмяна</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lastRenderedPageBreak/>
              <w:t>16</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Обществени услуги</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17</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Общински сгради</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rPr>
                <w:rFonts w:asciiTheme="majorHAnsi" w:hAnsiTheme="majorHAnsi"/>
              </w:rPr>
            </w:pPr>
            <w:r w:rsidRPr="0036704C">
              <w:rPr>
                <w:rFonts w:asciiTheme="majorHAnsi" w:hAnsiTheme="majorHAnsi"/>
              </w:rPr>
              <w:t xml:space="preserve">Имотите съгласно </w:t>
            </w:r>
            <w:hyperlink r:id="rId9" w:history="1">
              <w:r w:rsidRPr="0036704C">
                <w:rPr>
                  <w:rFonts w:asciiTheme="majorHAnsi" w:hAnsiTheme="majorHAnsi"/>
                  <w:color w:val="000000"/>
                  <w:u w:val="single"/>
                </w:rPr>
                <w:t>чл. 2, ал. 1 от Закона за общинската собственост</w:t>
              </w:r>
            </w:hyperlink>
            <w:r w:rsidRPr="0036704C">
              <w:rPr>
                <w:rFonts w:asciiTheme="majorHAnsi" w:hAnsiTheme="majorHAnsi"/>
              </w:rPr>
              <w:t>.</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18</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Площи за широко обществено ползване</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Паркове, градин</w:t>
            </w:r>
            <w:r w:rsidR="004979A6">
              <w:rPr>
                <w:rFonts w:asciiTheme="majorHAnsi" w:hAnsiTheme="majorHAnsi"/>
              </w:rPr>
              <w:t>и, улично озеленяване, площади, гробищни паркове и площадки за игра.</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19</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Площадка за игра</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20</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Принос в натура</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21</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Разходи за консултантски услуги, свързани с подготовка и управление на проекта</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22</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Реставрация</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23</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Референтен разход</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Цени и пределни стойности, ползвани от ДФЗ - РА за сравняване при определяне основателността на разходите за различни инвестиции.</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rPr>
            </w:pPr>
            <w:r>
              <w:rPr>
                <w:rFonts w:asciiTheme="majorHAnsi" w:hAnsiTheme="majorHAnsi"/>
                <w:b/>
              </w:rPr>
              <w:t>24</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color w:val="000000"/>
              </w:rPr>
            </w:pPr>
            <w:r w:rsidRPr="0036704C">
              <w:rPr>
                <w:rFonts w:asciiTheme="majorHAnsi" w:hAnsiTheme="majorHAnsi"/>
                <w:b/>
              </w:rPr>
              <w:t>Спортна инфраструктура</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Обществено достъпни открити</w:t>
            </w:r>
            <w:r w:rsidR="004979A6">
              <w:rPr>
                <w:rFonts w:asciiTheme="majorHAnsi" w:hAnsiTheme="majorHAnsi"/>
              </w:rPr>
              <w:t xml:space="preserve"> или закрити</w:t>
            </w:r>
            <w:r w:rsidRPr="0036704C">
              <w:rPr>
                <w:rFonts w:asciiTheme="majorHAnsi" w:hAnsiTheme="majorHAnsi"/>
              </w:rPr>
              <w:t xml:space="preserve"> площи, </w:t>
            </w:r>
            <w:r w:rsidRPr="0036704C">
              <w:rPr>
                <w:rFonts w:asciiTheme="majorHAnsi" w:hAnsiTheme="majorHAnsi"/>
                <w:color w:val="000000"/>
              </w:rPr>
              <w:t xml:space="preserve">предназначени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един обект: футболно игрище на малко поле, </w:t>
            </w:r>
            <w:r w:rsidRPr="0036704C">
              <w:rPr>
                <w:rFonts w:asciiTheme="majorHAnsi" w:hAnsiTheme="majorHAnsi"/>
              </w:rPr>
              <w:t xml:space="preserve">волейболно, баскетболно, </w:t>
            </w:r>
            <w:proofErr w:type="spellStart"/>
            <w:r w:rsidRPr="0036704C">
              <w:rPr>
                <w:rFonts w:asciiTheme="majorHAnsi" w:hAnsiTheme="majorHAnsi"/>
              </w:rPr>
              <w:t>хандбално</w:t>
            </w:r>
            <w:proofErr w:type="spellEnd"/>
            <w:r w:rsidRPr="0036704C">
              <w:rPr>
                <w:rFonts w:asciiTheme="majorHAnsi" w:hAnsiTheme="majorHAnsi"/>
              </w:rPr>
              <w:t xml:space="preserve"> игрище, площадка за скейтб</w:t>
            </w:r>
            <w:r w:rsidR="004979A6">
              <w:rPr>
                <w:rFonts w:asciiTheme="majorHAnsi" w:hAnsiTheme="majorHAnsi"/>
              </w:rPr>
              <w:t>орд и ролери и площадка за игра</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25</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color w:val="000000"/>
              </w:rPr>
            </w:pPr>
            <w:r w:rsidRPr="0036704C">
              <w:rPr>
                <w:rFonts w:asciiTheme="majorHAnsi" w:hAnsiTheme="majorHAnsi"/>
                <w:b/>
                <w:color w:val="000000"/>
              </w:rPr>
              <w:t>Съпоставими оферти</w:t>
            </w:r>
          </w:p>
        </w:tc>
        <w:tc>
          <w:tcPr>
            <w:tcW w:w="6663"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color w:val="000000"/>
              </w:rPr>
            </w:pPr>
            <w:r w:rsidRPr="0036704C">
              <w:rPr>
                <w:rFonts w:asciiTheme="majorHAnsi" w:hAnsiTheme="majorHAnsi"/>
                <w:color w:val="000000"/>
              </w:rPr>
              <w:t xml:space="preserve">Оферти, които отговарят на запитването за оферта на кандидата и съдържат: </w:t>
            </w:r>
          </w:p>
          <w:p w:rsidR="00854FE4" w:rsidRPr="0036704C" w:rsidRDefault="00854FE4" w:rsidP="00FB4863">
            <w:pPr>
              <w:jc w:val="both"/>
              <w:rPr>
                <w:rFonts w:asciiTheme="majorHAnsi" w:hAnsiTheme="majorHAnsi"/>
                <w:color w:val="000000"/>
              </w:rPr>
            </w:pPr>
            <w:r w:rsidRPr="0036704C">
              <w:rPr>
                <w:rFonts w:asciiTheme="majorHAnsi" w:hAnsiTheme="majorHAnsi"/>
                <w:color w:val="000000"/>
              </w:rPr>
              <w:t>а)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854FE4" w:rsidRPr="0036704C" w:rsidRDefault="00854FE4" w:rsidP="00FB4863">
            <w:pPr>
              <w:jc w:val="both"/>
              <w:rPr>
                <w:rFonts w:asciiTheme="majorHAnsi" w:hAnsiTheme="majorHAnsi"/>
              </w:rPr>
            </w:pPr>
            <w:r w:rsidRPr="0036704C">
              <w:rPr>
                <w:rFonts w:asciiTheme="majorHAnsi" w:hAnsiTheme="majorHAnsi"/>
                <w:color w:val="000000"/>
              </w:rPr>
              <w:t>б) количествено-стойностни сметки – в случаите, когато се кандидатства за разходи за извършване на строително-монтажни работи.</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t>26</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Терен</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 xml:space="preserve">Част от земната повърхност, за която с инвестиционен проект се </w:t>
            </w:r>
            <w:r w:rsidRPr="0036704C">
              <w:rPr>
                <w:rFonts w:asciiTheme="majorHAnsi" w:hAnsiTheme="majorHAnsi"/>
              </w:rPr>
              <w:lastRenderedPageBreak/>
              <w:t>предвиждат дейности по устройство – застрояване, озеленяване и благоустрояване.</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36704C" w:rsidRDefault="00854FE4" w:rsidP="00FB4863">
            <w:pPr>
              <w:jc w:val="both"/>
              <w:rPr>
                <w:rFonts w:asciiTheme="majorHAnsi" w:hAnsiTheme="majorHAnsi"/>
                <w:b/>
                <w:color w:val="000000"/>
              </w:rPr>
            </w:pPr>
            <w:r>
              <w:rPr>
                <w:rFonts w:asciiTheme="majorHAnsi" w:hAnsiTheme="majorHAnsi"/>
                <w:b/>
                <w:color w:val="000000"/>
              </w:rPr>
              <w:lastRenderedPageBreak/>
              <w:t>27</w:t>
            </w:r>
          </w:p>
        </w:tc>
        <w:tc>
          <w:tcPr>
            <w:tcW w:w="2409"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b/>
              </w:rPr>
            </w:pPr>
            <w:r w:rsidRPr="0036704C">
              <w:rPr>
                <w:rFonts w:asciiTheme="majorHAnsi" w:hAnsiTheme="majorHAnsi"/>
                <w:b/>
                <w:color w:val="000000"/>
              </w:rPr>
              <w:t>Техническа спецификация</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Документ, в който се определят изисквания към характеристики на стоката, услугата или строителството.</w:t>
            </w:r>
          </w:p>
        </w:tc>
      </w:tr>
      <w:tr w:rsidR="00854FE4" w:rsidRPr="00216D86" w:rsidTr="004979A6">
        <w:tc>
          <w:tcPr>
            <w:tcW w:w="534" w:type="dxa"/>
            <w:tcBorders>
              <w:top w:val="single" w:sz="4" w:space="0" w:color="auto"/>
              <w:left w:val="single" w:sz="4" w:space="0" w:color="auto"/>
              <w:bottom w:val="single" w:sz="4" w:space="0" w:color="auto"/>
              <w:right w:val="single" w:sz="4" w:space="0" w:color="auto"/>
            </w:tcBorders>
          </w:tcPr>
          <w:p w:rsidR="00854FE4" w:rsidRPr="00F050DE" w:rsidRDefault="00854FE4" w:rsidP="00FB4863">
            <w:pPr>
              <w:rPr>
                <w:rFonts w:ascii="Times New Roman" w:hAnsi="Times New Roman"/>
                <w:b/>
                <w:color w:val="000000"/>
              </w:rPr>
            </w:pPr>
            <w:r>
              <w:rPr>
                <w:rFonts w:ascii="Times New Roman" w:hAnsi="Times New Roman"/>
                <w:b/>
                <w:color w:val="000000"/>
              </w:rPr>
              <w:t>28</w:t>
            </w:r>
          </w:p>
        </w:tc>
        <w:tc>
          <w:tcPr>
            <w:tcW w:w="2409" w:type="dxa"/>
            <w:tcBorders>
              <w:top w:val="single" w:sz="4" w:space="0" w:color="auto"/>
              <w:left w:val="single" w:sz="4" w:space="0" w:color="auto"/>
              <w:bottom w:val="single" w:sz="4" w:space="0" w:color="auto"/>
              <w:right w:val="single" w:sz="4" w:space="0" w:color="auto"/>
            </w:tcBorders>
            <w:hideMark/>
          </w:tcPr>
          <w:p w:rsidR="00854FE4" w:rsidRPr="00F050DE" w:rsidRDefault="00854FE4" w:rsidP="00FB4863">
            <w:pPr>
              <w:rPr>
                <w:rFonts w:ascii="Times New Roman" w:hAnsi="Times New Roman"/>
                <w:b/>
                <w:color w:val="000000"/>
              </w:rPr>
            </w:pPr>
            <w:r w:rsidRPr="00F050DE">
              <w:rPr>
                <w:rFonts w:ascii="Times New Roman" w:hAnsi="Times New Roman"/>
                <w:b/>
                <w:color w:val="000000"/>
              </w:rPr>
              <w:t>Население,  което</w:t>
            </w:r>
            <w:r>
              <w:rPr>
                <w:rFonts w:ascii="Times New Roman" w:hAnsi="Times New Roman"/>
                <w:b/>
                <w:color w:val="000000"/>
              </w:rPr>
              <w:t xml:space="preserve"> ще </w:t>
            </w:r>
            <w:r w:rsidRPr="00F050DE">
              <w:rPr>
                <w:rFonts w:ascii="Times New Roman" w:hAnsi="Times New Roman"/>
                <w:b/>
                <w:color w:val="000000"/>
              </w:rPr>
              <w:t xml:space="preserve"> се </w:t>
            </w:r>
            <w:r>
              <w:rPr>
                <w:rFonts w:ascii="Times New Roman" w:hAnsi="Times New Roman"/>
                <w:b/>
                <w:color w:val="000000"/>
              </w:rPr>
              <w:t>въз</w:t>
            </w:r>
            <w:r w:rsidRPr="00F050DE">
              <w:rPr>
                <w:rFonts w:ascii="Times New Roman" w:hAnsi="Times New Roman"/>
                <w:b/>
                <w:color w:val="000000"/>
              </w:rPr>
              <w:t xml:space="preserve">ползва </w:t>
            </w:r>
            <w:r w:rsidRPr="00F050DE">
              <w:rPr>
                <w:rFonts w:ascii="Times New Roman" w:hAnsi="Times New Roman"/>
                <w:b/>
                <w:sz w:val="24"/>
                <w:szCs w:val="24"/>
              </w:rPr>
              <w:t xml:space="preserve"> от подобрените основни услуги в резултат на изпълнение на проекта</w:t>
            </w:r>
          </w:p>
        </w:tc>
        <w:tc>
          <w:tcPr>
            <w:tcW w:w="6663" w:type="dxa"/>
            <w:tcBorders>
              <w:top w:val="single" w:sz="4" w:space="0" w:color="auto"/>
              <w:left w:val="single" w:sz="4" w:space="0" w:color="auto"/>
              <w:bottom w:val="single" w:sz="4" w:space="0" w:color="auto"/>
              <w:right w:val="single" w:sz="4" w:space="0" w:color="auto"/>
            </w:tcBorders>
            <w:hideMark/>
          </w:tcPr>
          <w:p w:rsidR="00854FE4" w:rsidRPr="0036704C" w:rsidRDefault="00854FE4" w:rsidP="00FB4863">
            <w:pPr>
              <w:jc w:val="both"/>
              <w:rPr>
                <w:rFonts w:asciiTheme="majorHAnsi" w:hAnsiTheme="majorHAnsi"/>
              </w:rPr>
            </w:pPr>
            <w:r w:rsidRPr="0036704C">
              <w:rPr>
                <w:rFonts w:asciiTheme="majorHAnsi" w:hAnsiTheme="majorHAnsi"/>
              </w:rPr>
              <w:t xml:space="preserve">Населението на населените места, където са </w:t>
            </w:r>
            <w:r>
              <w:rPr>
                <w:rFonts w:asciiTheme="majorHAnsi" w:hAnsiTheme="majorHAnsi"/>
              </w:rPr>
              <w:t>разположени обектите на инвести</w:t>
            </w:r>
            <w:r w:rsidRPr="0036704C">
              <w:rPr>
                <w:rFonts w:asciiTheme="majorHAnsi" w:hAnsiTheme="majorHAnsi"/>
              </w:rPr>
              <w:t>ции, както и население от други населени места, които се ползват  от подобрената среда</w:t>
            </w:r>
          </w:p>
        </w:tc>
      </w:tr>
    </w:tbl>
    <w:p w:rsidR="00854FE4" w:rsidRDefault="00854FE4" w:rsidP="00854FE4"/>
    <w:p w:rsidR="00854FE4" w:rsidRDefault="00854FE4" w:rsidP="00854FE4"/>
    <w:p w:rsidR="00FA0D85" w:rsidRDefault="00FA0D85">
      <w:bookmarkStart w:id="0" w:name="_GoBack"/>
      <w:bookmarkEnd w:id="0"/>
    </w:p>
    <w:sectPr w:rsidR="00FA0D85" w:rsidSect="00FA0D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54FE4"/>
    <w:rsid w:val="004979A6"/>
    <w:rsid w:val="00854FE4"/>
    <w:rsid w:val="00FA0D8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FE4"/>
    <w:pPr>
      <w:spacing w:after="120" w:line="264" w:lineRule="auto"/>
    </w:pPr>
    <w:rPr>
      <w:rFonts w:ascii="Calibri" w:eastAsia="Times New Roman" w:hAnsi="Calibri" w:cs="Times New Roman"/>
      <w:sz w:val="21"/>
      <w:szCs w:val="21"/>
      <w:lang w:eastAsia="bg-BG"/>
    </w:rPr>
  </w:style>
  <w:style w:type="paragraph" w:styleId="1">
    <w:name w:val="heading 1"/>
    <w:basedOn w:val="a"/>
    <w:next w:val="a"/>
    <w:link w:val="10"/>
    <w:uiPriority w:val="9"/>
    <w:qFormat/>
    <w:rsid w:val="00854F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4FE4"/>
    <w:pPr>
      <w:spacing w:after="0" w:line="240" w:lineRule="auto"/>
    </w:pPr>
    <w:rPr>
      <w:rFonts w:ascii="Tahoma" w:eastAsiaTheme="minorHAnsi" w:hAnsi="Tahoma" w:cs="Tahoma"/>
      <w:sz w:val="16"/>
      <w:szCs w:val="16"/>
      <w:lang w:eastAsia="en-US"/>
    </w:rPr>
  </w:style>
  <w:style w:type="character" w:customStyle="1" w:styleId="a4">
    <w:name w:val="Изнесен текст Знак"/>
    <w:basedOn w:val="a0"/>
    <w:link w:val="a3"/>
    <w:uiPriority w:val="99"/>
    <w:semiHidden/>
    <w:rsid w:val="00854FE4"/>
    <w:rPr>
      <w:rFonts w:ascii="Tahoma" w:hAnsi="Tahoma" w:cs="Tahoma"/>
      <w:sz w:val="16"/>
      <w:szCs w:val="16"/>
    </w:rPr>
  </w:style>
  <w:style w:type="paragraph" w:customStyle="1" w:styleId="Default">
    <w:name w:val="Default"/>
    <w:rsid w:val="00854FE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лавие 1 Знак"/>
    <w:basedOn w:val="a0"/>
    <w:link w:val="1"/>
    <w:uiPriority w:val="9"/>
    <w:rsid w:val="00854FE4"/>
    <w:rPr>
      <w:rFonts w:asciiTheme="majorHAnsi" w:eastAsiaTheme="majorEastAsia" w:hAnsiTheme="majorHAnsi" w:cstheme="majorBidi"/>
      <w:b/>
      <w:bCs/>
      <w:color w:val="365F91" w:themeColor="accent1" w:themeShade="BF"/>
      <w:sz w:val="28"/>
      <w:szCs w:val="28"/>
      <w:lang w:eastAsia="bg-BG"/>
    </w:rPr>
  </w:style>
  <w:style w:type="paragraph" w:styleId="a5">
    <w:name w:val="TOC Heading"/>
    <w:basedOn w:val="1"/>
    <w:next w:val="a"/>
    <w:uiPriority w:val="39"/>
    <w:unhideWhenUsed/>
    <w:qFormat/>
    <w:rsid w:val="00854FE4"/>
    <w:pPr>
      <w:spacing w:before="240" w:after="120" w:line="259" w:lineRule="auto"/>
      <w:outlineLvl w:val="9"/>
    </w:pPr>
    <w:rPr>
      <w:b w:val="0"/>
      <w:bCs w:val="0"/>
      <w:sz w:val="32"/>
      <w:szCs w:val="32"/>
      <w:lang w:val="en-US" w:eastAsia="en-US"/>
    </w:rPr>
  </w:style>
  <w:style w:type="table" w:customStyle="1" w:styleId="11">
    <w:name w:val="Мрежа в таблица11"/>
    <w:basedOn w:val="a1"/>
    <w:uiPriority w:val="59"/>
    <w:rsid w:val="00854F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5477&amp;Type=201/" TargetMode="External"/><Relationship Id="rId3" Type="http://schemas.openxmlformats.org/officeDocument/2006/relationships/settings" Target="settings.xml"/><Relationship Id="rId7" Type="http://schemas.openxmlformats.org/officeDocument/2006/relationships/hyperlink" Target="apis://Base=NARH&amp;DocCode=40006&amp;Type=20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apis://Base=APEV&amp;CELEX=32013R1306&amp;ToPar=Art60&amp;Type=201/"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apis://Base=NARH&amp;DocCode=4499&amp;ToPar=Art2_Al1&amp;Type=20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1128</Words>
  <Characters>6432</Characters>
  <Application>Microsoft Office Word</Application>
  <DocSecurity>0</DocSecurity>
  <Lines>53</Lines>
  <Paragraphs>15</Paragraphs>
  <ScaleCrop>false</ScaleCrop>
  <Company/>
  <LinksUpToDate>false</LinksUpToDate>
  <CharactersWithSpaces>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dcterms:created xsi:type="dcterms:W3CDTF">2019-03-05T14:26:00Z</dcterms:created>
  <dcterms:modified xsi:type="dcterms:W3CDTF">2019-04-10T14:04:00Z</dcterms:modified>
</cp:coreProperties>
</file>